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C1" w:rsidRPr="00103FDE" w:rsidRDefault="00E86AC1" w:rsidP="00E86AC1">
      <w:pPr>
        <w:spacing w:before="200"/>
        <w:jc w:val="center"/>
        <w:rPr>
          <w:rFonts w:cs="TimesNewRomanPS-BoldMT"/>
          <w:b/>
          <w:bCs/>
        </w:rPr>
      </w:pPr>
      <w:r w:rsidRPr="00103FDE">
        <w:rPr>
          <w:rFonts w:cs="TimesNewRomanPS-BoldMT"/>
          <w:b/>
          <w:bCs/>
        </w:rPr>
        <w:t xml:space="preserve">A temporary stay permit - other circumstances - a victim </w:t>
      </w:r>
      <w:r>
        <w:rPr>
          <w:rFonts w:cs="TimesNewRomanPS-BoldMT"/>
          <w:b/>
          <w:bCs/>
        </w:rPr>
        <w:t>after</w:t>
      </w:r>
      <w:r w:rsidRPr="00103FDE">
        <w:rPr>
          <w:rFonts w:cs="TimesNewRomanPS-BoldMT"/>
          <w:b/>
          <w:bCs/>
        </w:rPr>
        <w:t xml:space="preserve"> a lawsuit</w:t>
      </w:r>
    </w:p>
    <w:p w:rsidR="00E86AC1" w:rsidRPr="00103FDE" w:rsidRDefault="00E86AC1" w:rsidP="00E86AC1">
      <w:pPr>
        <w:autoSpaceDE w:val="0"/>
        <w:autoSpaceDN w:val="0"/>
        <w:adjustRightInd w:val="0"/>
        <w:spacing w:after="0" w:line="240" w:lineRule="auto"/>
        <w:jc w:val="both"/>
      </w:pPr>
      <w:r w:rsidRPr="00103FDE">
        <w:t>A temporary stay permit can be granted to an alien who</w:t>
      </w:r>
      <w:r>
        <w:t>,</w:t>
      </w:r>
      <w:r w:rsidRPr="00103FDE">
        <w:t xml:space="preserve"> immediately before submitting an application for the permit</w:t>
      </w:r>
      <w:r>
        <w:t>,</w:t>
      </w:r>
      <w:r w:rsidRPr="00103FDE">
        <w:t xml:space="preserve"> resided on the territory of the Republic of Poland</w:t>
      </w:r>
      <w:r>
        <w:t>,</w:t>
      </w:r>
      <w:r w:rsidRPr="00103FDE">
        <w:t xml:space="preserve"> based on a permit granted to the victims in criminal proceedings against an entity commissioning work to them, as a result of the crime of commissioning work in particularly exploitative working conditions</w:t>
      </w:r>
      <w:r>
        <w:t>,</w:t>
      </w:r>
      <w:r w:rsidRPr="00103FDE">
        <w:t xml:space="preserve"> referred to in Art.  10</w:t>
      </w:r>
      <w:r>
        <w:t>,</w:t>
      </w:r>
      <w:r w:rsidRPr="00103FDE">
        <w:t xml:space="preserve"> section 1 of the Act on the Effect of Commissioning Work to Aliens </w:t>
      </w:r>
      <w:r>
        <w:t>I</w:t>
      </w:r>
      <w:r w:rsidRPr="00103FDE">
        <w:t>llegally Residing on the Territory o</w:t>
      </w:r>
      <w:r>
        <w:t>f the Republic of Poland of 15</w:t>
      </w:r>
      <w:r w:rsidRPr="004D6460">
        <w:rPr>
          <w:vertAlign w:val="superscript"/>
        </w:rPr>
        <w:t>th</w:t>
      </w:r>
      <w:r w:rsidRPr="00103FDE">
        <w:t xml:space="preserve"> June 2012 (Journal of Laws</w:t>
      </w:r>
      <w:r>
        <w:t>,</w:t>
      </w:r>
      <w:r w:rsidRPr="00103FDE">
        <w:t xml:space="preserve"> item 769), or to minor aliens residing without a valid document entitling them to reside on the territory of the Republic of Poland, who were commissioned to perform work, until they receive the outstanding payment from the entity commissioning work to them or from the entity referred to in Art. 6 or Art. 7 of the Act on the Effects of Commissioning Work to Aliens </w:t>
      </w:r>
      <w:r>
        <w:t>I</w:t>
      </w:r>
      <w:r w:rsidRPr="00103FDE">
        <w:t>llegally Residing on the Territory o</w:t>
      </w:r>
      <w:r>
        <w:t>f the Republic of Poland of 15</w:t>
      </w:r>
      <w:r w:rsidRPr="004D6460">
        <w:rPr>
          <w:vertAlign w:val="superscript"/>
        </w:rPr>
        <w:t>th</w:t>
      </w:r>
      <w:r w:rsidRPr="00103FDE">
        <w:t xml:space="preserve"> June 2012 . </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E86AC1" w:rsidRDefault="00E86AC1" w:rsidP="00CB4C0C">
      <w:pPr>
        <w:pStyle w:val="Akapitzlist"/>
        <w:numPr>
          <w:ilvl w:val="0"/>
          <w:numId w:val="8"/>
        </w:numPr>
        <w:spacing w:before="200"/>
        <w:jc w:val="both"/>
        <w:rPr>
          <w:rFonts w:cs="TimesNewRomanPSMT"/>
        </w:rPr>
      </w:pPr>
      <w:r w:rsidRPr="00CB4C0C">
        <w:rPr>
          <w:rFonts w:cs="TimesNewRomanPSMT"/>
        </w:rPr>
        <w:t xml:space="preserve">Documents certifying the fact that the proceedings in the case for recovering the outstanding payment are in progress; </w:t>
      </w:r>
    </w:p>
    <w:p w:rsidR="00CB4C0C" w:rsidRPr="001719A2" w:rsidRDefault="00CB4C0C" w:rsidP="00CB4C0C">
      <w:pPr>
        <w:pStyle w:val="Akapitzlist"/>
        <w:numPr>
          <w:ilvl w:val="0"/>
          <w:numId w:val="8"/>
        </w:numPr>
        <w:spacing w:before="28" w:after="28" w:line="100" w:lineRule="atLeast"/>
        <w:jc w:val="both"/>
      </w:pPr>
      <w:r w:rsidRPr="00CB4C0C">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CB4C0C">
        <w:rPr>
          <w:rFonts w:ascii="Verdana" w:eastAsia="Times New Roman" w:hAnsi="Verdana" w:cs="Times New Roman"/>
          <w:color w:val="013167"/>
          <w:sz w:val="18"/>
          <w:szCs w:val="18"/>
          <w:vertAlign w:val="superscript"/>
        </w:rPr>
        <w:t>th</w:t>
      </w:r>
      <w:r w:rsidRPr="00CB4C0C">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CB4C0C" w:rsidRPr="00CB4C0C" w:rsidRDefault="00CB4C0C" w:rsidP="00CB4C0C">
      <w:pPr>
        <w:pStyle w:val="Akapitzlist"/>
        <w:numPr>
          <w:ilvl w:val="0"/>
          <w:numId w:val="8"/>
        </w:numPr>
        <w:spacing w:before="200"/>
        <w:jc w:val="both"/>
        <w:rPr>
          <w:rFonts w:cs="TimesNewRomanPSMT"/>
        </w:rPr>
      </w:pPr>
      <w:r w:rsidRPr="004C1E68">
        <w:t xml:space="preserve">a document confirming having accommodation </w:t>
      </w:r>
      <w:r w:rsidRPr="00CB4C0C">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CB4C0C">
        <w:rPr>
          <w:rFonts w:cs="TimesNewRomanPSMT"/>
        </w:rPr>
        <w:t xml:space="preserve"> </w:t>
      </w:r>
    </w:p>
    <w:p w:rsidR="00CB4C0C" w:rsidRPr="00CB4C0C" w:rsidRDefault="00CB4C0C" w:rsidP="00CB4C0C">
      <w:pPr>
        <w:pStyle w:val="Akapitzlist"/>
        <w:numPr>
          <w:ilvl w:val="0"/>
          <w:numId w:val="8"/>
        </w:numPr>
        <w:spacing w:before="200"/>
        <w:jc w:val="both"/>
        <w:rPr>
          <w:rFonts w:cs="TimesNewRomanPSMT"/>
        </w:rPr>
      </w:pPr>
      <w:r w:rsidRPr="004C24E8">
        <w:rPr>
          <w:rFonts w:ascii="Verdana" w:eastAsia="Times New Roman" w:hAnsi="Verdana" w:cs="Times New Roman"/>
          <w:color w:val="013167"/>
          <w:sz w:val="18"/>
          <w:szCs w:val="18"/>
          <w:lang w:eastAsia="pl-PL"/>
        </w:rPr>
        <w:t>documents certifying having sufficient financial means to cover the costs of living</w:t>
      </w:r>
      <w:r>
        <w:rPr>
          <w:rFonts w:ascii="Verdana" w:eastAsia="Times New Roman" w:hAnsi="Verdana" w:cs="Times New Roman"/>
          <w:color w:val="013167"/>
          <w:sz w:val="18"/>
          <w:szCs w:val="18"/>
          <w:lang w:eastAsia="pl-PL"/>
        </w:rPr>
        <w:t>.</w:t>
      </w: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4C1E68">
        <w:rPr>
          <w:rFonts w:ascii="Verdana" w:eastAsia="Times New Roman" w:hAnsi="Verdana" w:cs="Times New Roman"/>
          <w:color w:val="013167"/>
          <w:sz w:val="18"/>
          <w:szCs w:val="18"/>
        </w:rPr>
        <w:t xml:space="preserve">Note: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19" w:rsidRDefault="00C76A19" w:rsidP="004E34AF">
      <w:pPr>
        <w:spacing w:after="0" w:line="240" w:lineRule="auto"/>
      </w:pPr>
      <w:r>
        <w:separator/>
      </w:r>
    </w:p>
  </w:endnote>
  <w:endnote w:type="continuationSeparator" w:id="0">
    <w:p w:rsidR="00C76A19" w:rsidRDefault="00C76A19"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19" w:rsidRDefault="00C76A19" w:rsidP="004E34AF">
      <w:pPr>
        <w:spacing w:after="0" w:line="240" w:lineRule="auto"/>
      </w:pPr>
      <w:r>
        <w:separator/>
      </w:r>
    </w:p>
  </w:footnote>
  <w:footnote w:type="continuationSeparator" w:id="0">
    <w:p w:rsidR="00C76A19" w:rsidRDefault="00C76A19"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467BB1"/>
    <w:multiLevelType w:val="hybridMultilevel"/>
    <w:tmpl w:val="099AD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60195"/>
    <w:rsid w:val="00097674"/>
    <w:rsid w:val="00120BD1"/>
    <w:rsid w:val="00161AD6"/>
    <w:rsid w:val="001D1F02"/>
    <w:rsid w:val="001E7DE3"/>
    <w:rsid w:val="00294760"/>
    <w:rsid w:val="002C4CF1"/>
    <w:rsid w:val="003624A8"/>
    <w:rsid w:val="003747BC"/>
    <w:rsid w:val="004565B7"/>
    <w:rsid w:val="004C24E8"/>
    <w:rsid w:val="004E34AF"/>
    <w:rsid w:val="005919EA"/>
    <w:rsid w:val="005C399E"/>
    <w:rsid w:val="00616A96"/>
    <w:rsid w:val="00624FCE"/>
    <w:rsid w:val="006713E6"/>
    <w:rsid w:val="007352FA"/>
    <w:rsid w:val="00921DC3"/>
    <w:rsid w:val="00AA2208"/>
    <w:rsid w:val="00B15781"/>
    <w:rsid w:val="00C14059"/>
    <w:rsid w:val="00C30A02"/>
    <w:rsid w:val="00C76A19"/>
    <w:rsid w:val="00CB4C0C"/>
    <w:rsid w:val="00E7306A"/>
    <w:rsid w:val="00E86AC1"/>
    <w:rsid w:val="00EE2559"/>
    <w:rsid w:val="00EF6729"/>
    <w:rsid w:val="00F623BA"/>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2149</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2014-11-24T10:58:00Z</dcterms:created>
  <dcterms:modified xsi:type="dcterms:W3CDTF">2014-11-24T11:00:00Z</dcterms:modified>
</cp:coreProperties>
</file>